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C62CAD" w14:textId="77777777" w:rsidR="006D2E1F" w:rsidRPr="00A93961" w:rsidRDefault="006D2E1F" w:rsidP="006D2E1F">
      <w:pPr>
        <w:pStyle w:val="Header"/>
        <w:rPr>
          <w:rFonts w:ascii="Arial" w:hAnsi="Arial" w:cs="Arial"/>
          <w:b/>
          <w:bCs/>
        </w:rPr>
      </w:pPr>
      <w:r w:rsidRPr="00A93961">
        <w:rPr>
          <w:rFonts w:ascii="Arial" w:hAnsi="Arial" w:cs="Arial"/>
          <w:b/>
          <w:bCs/>
        </w:rPr>
        <w:t>California Family Code:  Consent of Minors Age 12 to Infectious Disease Medical Care</w:t>
      </w:r>
    </w:p>
    <w:p w14:paraId="0763C7DD" w14:textId="0FA88471" w:rsidR="00AE0BDD" w:rsidRDefault="00AE0BDD"/>
    <w:p w14:paraId="088D2734" w14:textId="77777777" w:rsidR="00D43A41" w:rsidRPr="00D43A41" w:rsidRDefault="00D43A41" w:rsidP="00D43A41">
      <w:pPr>
        <w:shd w:val="clear" w:color="auto" w:fill="FFFFFF"/>
        <w:spacing w:after="0" w:line="240" w:lineRule="auto"/>
        <w:textAlignment w:val="baseline"/>
        <w:outlineLvl w:val="2"/>
        <w:rPr>
          <w:rFonts w:ascii="Verdana" w:eastAsia="Times New Roman" w:hAnsi="Verdana" w:cs="Arial"/>
          <w:b/>
          <w:bCs/>
          <w:caps/>
          <w:color w:val="333333"/>
        </w:rPr>
      </w:pPr>
      <w:r w:rsidRPr="00D43A41">
        <w:rPr>
          <w:rFonts w:ascii="Arial" w:eastAsia="Times New Roman" w:hAnsi="Arial" w:cs="Arial"/>
          <w:b/>
          <w:bCs/>
          <w:caps/>
          <w:color w:val="111111"/>
        </w:rPr>
        <w:t>FAMILY CODE - FAM</w:t>
      </w:r>
    </w:p>
    <w:p w14:paraId="2A25BBCD" w14:textId="77777777" w:rsidR="00D43A41" w:rsidRPr="00D43A41" w:rsidRDefault="00D43A41" w:rsidP="00D43A41">
      <w:pPr>
        <w:shd w:val="clear" w:color="auto" w:fill="FFFFFF"/>
        <w:spacing w:after="0" w:line="240" w:lineRule="auto"/>
        <w:ind w:firstLine="360"/>
        <w:textAlignment w:val="baseline"/>
        <w:outlineLvl w:val="3"/>
        <w:rPr>
          <w:rFonts w:ascii="Arial" w:eastAsia="Times New Roman" w:hAnsi="Arial" w:cs="Arial"/>
          <w:b/>
          <w:bCs/>
          <w:color w:val="333333"/>
        </w:rPr>
      </w:pPr>
      <w:r w:rsidRPr="00D43A41">
        <w:rPr>
          <w:rFonts w:ascii="Arial" w:eastAsia="Times New Roman" w:hAnsi="Arial" w:cs="Arial"/>
          <w:b/>
          <w:bCs/>
          <w:color w:val="111111"/>
        </w:rPr>
        <w:t>DIVISION 11. MINORS [2750 - 2930]</w:t>
      </w:r>
    </w:p>
    <w:p w14:paraId="04A26D03" w14:textId="77777777" w:rsidR="00D43A41" w:rsidRPr="00D43A41" w:rsidRDefault="00D43A41" w:rsidP="00D43A41">
      <w:pPr>
        <w:shd w:val="clear" w:color="auto" w:fill="FFFFFF"/>
        <w:spacing w:after="0" w:line="240" w:lineRule="auto"/>
        <w:ind w:firstLine="360"/>
        <w:textAlignment w:val="baseline"/>
        <w:rPr>
          <w:rFonts w:ascii="Arial" w:eastAsia="Times New Roman" w:hAnsi="Arial" w:cs="Arial"/>
          <w:color w:val="333333"/>
        </w:rPr>
      </w:pPr>
      <w:r w:rsidRPr="00D43A41">
        <w:rPr>
          <w:rFonts w:ascii="Arial" w:eastAsia="Times New Roman" w:hAnsi="Arial" w:cs="Arial"/>
          <w:color w:val="333333"/>
        </w:rPr>
        <w:t>  </w:t>
      </w:r>
      <w:r w:rsidRPr="00D43A41">
        <w:rPr>
          <w:rFonts w:ascii="inherit" w:eastAsia="Times New Roman" w:hAnsi="inherit" w:cs="Arial"/>
          <w:i/>
          <w:iCs/>
          <w:color w:val="333333"/>
        </w:rPr>
        <w:t>( Division 11 enacted by Stats. 1992, Ch. 162, Sec. 10. )</w:t>
      </w:r>
    </w:p>
    <w:p w14:paraId="663CAEC8" w14:textId="77777777" w:rsidR="00D43A41" w:rsidRPr="00D43A41" w:rsidRDefault="00D43A41" w:rsidP="00D43A41">
      <w:pPr>
        <w:shd w:val="clear" w:color="auto" w:fill="FFFFFF"/>
        <w:spacing w:after="0" w:line="240" w:lineRule="auto"/>
        <w:ind w:firstLine="720"/>
        <w:textAlignment w:val="baseline"/>
        <w:outlineLvl w:val="3"/>
        <w:rPr>
          <w:rFonts w:ascii="Arial" w:eastAsia="Times New Roman" w:hAnsi="Arial" w:cs="Arial"/>
          <w:b/>
          <w:bCs/>
          <w:color w:val="333333"/>
        </w:rPr>
      </w:pPr>
      <w:r w:rsidRPr="00D43A41">
        <w:rPr>
          <w:rFonts w:ascii="Arial" w:eastAsia="Times New Roman" w:hAnsi="Arial" w:cs="Arial"/>
          <w:b/>
          <w:bCs/>
          <w:color w:val="111111"/>
        </w:rPr>
        <w:t>PART 4. MEDICAL TREATMENT [6900 - 6930]</w:t>
      </w:r>
    </w:p>
    <w:p w14:paraId="410A0C51" w14:textId="77777777" w:rsidR="00D43A41" w:rsidRPr="00D43A41" w:rsidRDefault="00D43A41" w:rsidP="00D43A41">
      <w:pPr>
        <w:shd w:val="clear" w:color="auto" w:fill="FFFFFF"/>
        <w:spacing w:after="0" w:line="240" w:lineRule="auto"/>
        <w:ind w:firstLine="720"/>
        <w:textAlignment w:val="baseline"/>
        <w:rPr>
          <w:rFonts w:ascii="Arial" w:eastAsia="Times New Roman" w:hAnsi="Arial" w:cs="Arial"/>
          <w:color w:val="333333"/>
        </w:rPr>
      </w:pPr>
      <w:r w:rsidRPr="00D43A41">
        <w:rPr>
          <w:rFonts w:ascii="Arial" w:eastAsia="Times New Roman" w:hAnsi="Arial" w:cs="Arial"/>
          <w:color w:val="333333"/>
        </w:rPr>
        <w:t>  </w:t>
      </w:r>
      <w:r w:rsidRPr="00D43A41">
        <w:rPr>
          <w:rFonts w:ascii="inherit" w:eastAsia="Times New Roman" w:hAnsi="inherit" w:cs="Arial"/>
          <w:i/>
          <w:iCs/>
          <w:color w:val="333333"/>
        </w:rPr>
        <w:t>( Part 4 enacted by Stats. 1992, Ch. 162, Sec. 10. )</w:t>
      </w:r>
    </w:p>
    <w:p w14:paraId="39875B37" w14:textId="77777777" w:rsidR="00D43A41" w:rsidRPr="00D43A41" w:rsidRDefault="00D43A41" w:rsidP="00D43A41">
      <w:pPr>
        <w:shd w:val="clear" w:color="auto" w:fill="FFFFFF"/>
        <w:spacing w:after="0" w:line="240" w:lineRule="auto"/>
        <w:textAlignment w:val="baseline"/>
        <w:rPr>
          <w:rFonts w:ascii="Verdana" w:eastAsia="Times New Roman" w:hAnsi="Verdana" w:cs="Times New Roman"/>
          <w:color w:val="333333"/>
          <w:bdr w:val="none" w:sz="0" w:space="0" w:color="auto" w:frame="1"/>
        </w:rPr>
      </w:pPr>
    </w:p>
    <w:p w14:paraId="18C31404" w14:textId="77777777" w:rsidR="00D43A41" w:rsidRPr="00D43A41" w:rsidRDefault="00D43A41" w:rsidP="00D43A41">
      <w:pPr>
        <w:shd w:val="clear" w:color="auto" w:fill="FFFFFF"/>
        <w:spacing w:after="0" w:line="240" w:lineRule="auto"/>
        <w:textAlignment w:val="baseline"/>
        <w:outlineLvl w:val="4"/>
        <w:rPr>
          <w:rFonts w:ascii="Arial" w:eastAsia="Times New Roman" w:hAnsi="Arial" w:cs="Arial"/>
          <w:b/>
          <w:bCs/>
          <w:color w:val="444444"/>
          <w:bdr w:val="none" w:sz="0" w:space="0" w:color="auto" w:frame="1"/>
        </w:rPr>
      </w:pPr>
      <w:r w:rsidRPr="00D43A41">
        <w:rPr>
          <w:rFonts w:ascii="Arial" w:eastAsia="Times New Roman" w:hAnsi="Arial" w:cs="Arial"/>
          <w:b/>
          <w:bCs/>
          <w:color w:val="111111"/>
          <w:bdr w:val="none" w:sz="0" w:space="0" w:color="auto" w:frame="1"/>
        </w:rPr>
        <w:t>CHAPTER 3. Consent by Minor [6920 - 6930]</w:t>
      </w:r>
    </w:p>
    <w:p w14:paraId="0EE3986D" w14:textId="77777777" w:rsidR="00D43A41" w:rsidRPr="00D43A41" w:rsidRDefault="00D43A41" w:rsidP="00D43A41">
      <w:pPr>
        <w:shd w:val="clear" w:color="auto" w:fill="FFFFFF"/>
        <w:spacing w:after="0" w:line="240" w:lineRule="auto"/>
        <w:textAlignment w:val="baseline"/>
        <w:rPr>
          <w:rFonts w:ascii="inherit" w:eastAsia="Times New Roman" w:hAnsi="inherit" w:cs="Times New Roman"/>
          <w:color w:val="333333"/>
          <w:bdr w:val="none" w:sz="0" w:space="0" w:color="auto" w:frame="1"/>
        </w:rPr>
      </w:pPr>
      <w:r w:rsidRPr="00D43A41">
        <w:rPr>
          <w:rFonts w:ascii="inherit" w:eastAsia="Times New Roman" w:hAnsi="inherit" w:cs="Times New Roman"/>
          <w:color w:val="333333"/>
          <w:bdr w:val="none" w:sz="0" w:space="0" w:color="auto" w:frame="1"/>
        </w:rPr>
        <w:t>  </w:t>
      </w:r>
      <w:r w:rsidRPr="00D43A41">
        <w:rPr>
          <w:rFonts w:ascii="inherit" w:eastAsia="Times New Roman" w:hAnsi="inherit" w:cs="Times New Roman"/>
          <w:i/>
          <w:iCs/>
          <w:color w:val="333333"/>
          <w:bdr w:val="none" w:sz="0" w:space="0" w:color="auto" w:frame="1"/>
        </w:rPr>
        <w:t>( Chapter 3 enacted by Stats. 1992, Ch. 162, Sec. 10. )</w:t>
      </w:r>
    </w:p>
    <w:p w14:paraId="4C5B3F33" w14:textId="77777777" w:rsidR="00D43A41" w:rsidRPr="00D43A41" w:rsidRDefault="00D43A41" w:rsidP="00D43A41">
      <w:pPr>
        <w:shd w:val="clear" w:color="auto" w:fill="FFFFFF"/>
        <w:spacing w:after="0" w:line="240" w:lineRule="auto"/>
        <w:textAlignment w:val="baseline"/>
        <w:rPr>
          <w:rFonts w:ascii="Verdana" w:eastAsia="Times New Roman" w:hAnsi="Verdana" w:cs="Times New Roman"/>
          <w:color w:val="333333"/>
          <w:bdr w:val="none" w:sz="0" w:space="0" w:color="auto" w:frame="1"/>
        </w:rPr>
      </w:pPr>
    </w:p>
    <w:p w14:paraId="73558497" w14:textId="77777777" w:rsidR="00D43A41" w:rsidRPr="00D43A41" w:rsidRDefault="00D43A41" w:rsidP="00D43A41">
      <w:pPr>
        <w:shd w:val="clear" w:color="auto" w:fill="FFFFFF"/>
        <w:spacing w:after="0" w:line="240" w:lineRule="auto"/>
        <w:textAlignment w:val="baseline"/>
        <w:outlineLvl w:val="3"/>
        <w:rPr>
          <w:rFonts w:ascii="Arial" w:eastAsia="Times New Roman" w:hAnsi="Arial" w:cs="Arial"/>
          <w:b/>
          <w:bCs/>
          <w:caps/>
          <w:color w:val="333333"/>
        </w:rPr>
      </w:pPr>
      <w:r w:rsidRPr="00D43A41">
        <w:rPr>
          <w:rFonts w:ascii="Arial" w:eastAsia="Times New Roman" w:hAnsi="Arial" w:cs="Arial"/>
          <w:b/>
          <w:bCs/>
          <w:caps/>
          <w:color w:val="111111"/>
        </w:rPr>
        <w:t>FAMILY CODE - FAM</w:t>
      </w:r>
    </w:p>
    <w:p w14:paraId="32CC8B78" w14:textId="77777777" w:rsidR="00D43A41" w:rsidRPr="00D43A41" w:rsidRDefault="00D43A41" w:rsidP="00D43A41">
      <w:pPr>
        <w:shd w:val="clear" w:color="auto" w:fill="FFFFFF"/>
        <w:spacing w:after="0" w:line="240" w:lineRule="auto"/>
        <w:ind w:firstLine="360"/>
        <w:textAlignment w:val="baseline"/>
        <w:outlineLvl w:val="3"/>
        <w:rPr>
          <w:rFonts w:ascii="Arial" w:eastAsia="Times New Roman" w:hAnsi="Arial" w:cs="Arial"/>
          <w:b/>
          <w:bCs/>
          <w:color w:val="333333"/>
        </w:rPr>
      </w:pPr>
      <w:r w:rsidRPr="00D43A41">
        <w:rPr>
          <w:rFonts w:ascii="Arial" w:eastAsia="Times New Roman" w:hAnsi="Arial" w:cs="Arial"/>
          <w:b/>
          <w:bCs/>
          <w:color w:val="111111"/>
        </w:rPr>
        <w:t>DIVISION 11. MINORS [2750 - 2930]</w:t>
      </w:r>
    </w:p>
    <w:p w14:paraId="6C0F42BF" w14:textId="77777777" w:rsidR="00D43A41" w:rsidRPr="00D43A41" w:rsidRDefault="00D43A41" w:rsidP="00D43A41">
      <w:pPr>
        <w:shd w:val="clear" w:color="auto" w:fill="FFFFFF"/>
        <w:spacing w:after="0" w:line="240" w:lineRule="auto"/>
        <w:ind w:firstLine="360"/>
        <w:textAlignment w:val="baseline"/>
        <w:rPr>
          <w:rFonts w:ascii="Arial" w:eastAsia="Times New Roman" w:hAnsi="Arial" w:cs="Arial"/>
          <w:color w:val="333333"/>
        </w:rPr>
      </w:pPr>
      <w:r w:rsidRPr="00D43A41">
        <w:rPr>
          <w:rFonts w:ascii="inherit" w:eastAsia="Times New Roman" w:hAnsi="inherit" w:cs="Arial"/>
          <w:i/>
          <w:iCs/>
          <w:color w:val="333333"/>
        </w:rPr>
        <w:t>  ( Division 11 enacted by Stats. 1992, Ch. 162, Sec. 10. )</w:t>
      </w:r>
    </w:p>
    <w:p w14:paraId="20809685" w14:textId="77777777" w:rsidR="00D43A41" w:rsidRPr="00D43A41" w:rsidRDefault="00D43A41" w:rsidP="00D43A41">
      <w:pPr>
        <w:spacing w:after="0" w:line="240" w:lineRule="auto"/>
        <w:rPr>
          <w:rFonts w:ascii="Times New Roman" w:eastAsia="Times New Roman" w:hAnsi="Times New Roman" w:cs="Times New Roman"/>
          <w:sz w:val="24"/>
          <w:szCs w:val="24"/>
        </w:rPr>
      </w:pPr>
      <w:r w:rsidRPr="00D43A41">
        <w:rPr>
          <w:rFonts w:ascii="Arial" w:eastAsia="Times New Roman" w:hAnsi="Arial" w:cs="Arial"/>
          <w:color w:val="333333"/>
          <w:shd w:val="clear" w:color="auto" w:fill="FFFFFF"/>
        </w:rPr>
        <w:t>  </w:t>
      </w:r>
    </w:p>
    <w:p w14:paraId="001B2CFC" w14:textId="77777777" w:rsidR="00D43A41" w:rsidRPr="00D43A41" w:rsidRDefault="00D43A41" w:rsidP="00D43A41">
      <w:pPr>
        <w:shd w:val="clear" w:color="auto" w:fill="FFFFFF"/>
        <w:spacing w:after="0" w:line="240" w:lineRule="auto"/>
        <w:ind w:firstLine="720"/>
        <w:textAlignment w:val="baseline"/>
        <w:outlineLvl w:val="3"/>
        <w:rPr>
          <w:rFonts w:ascii="Arial" w:eastAsia="Times New Roman" w:hAnsi="Arial" w:cs="Arial"/>
          <w:b/>
          <w:bCs/>
          <w:color w:val="333333"/>
        </w:rPr>
      </w:pPr>
      <w:r w:rsidRPr="00D43A41">
        <w:rPr>
          <w:rFonts w:ascii="Arial" w:eastAsia="Times New Roman" w:hAnsi="Arial" w:cs="Arial"/>
          <w:b/>
          <w:bCs/>
          <w:color w:val="111111"/>
        </w:rPr>
        <w:t>PART 4. MEDICAL TREATMENT [6900 - 6930]</w:t>
      </w:r>
    </w:p>
    <w:p w14:paraId="2D9969A8" w14:textId="77777777" w:rsidR="00D43A41" w:rsidRPr="00D43A41" w:rsidRDefault="00D43A41" w:rsidP="00D43A41">
      <w:pPr>
        <w:shd w:val="clear" w:color="auto" w:fill="FFFFFF"/>
        <w:spacing w:after="0" w:line="240" w:lineRule="auto"/>
        <w:ind w:firstLine="720"/>
        <w:textAlignment w:val="baseline"/>
        <w:rPr>
          <w:rFonts w:ascii="inherit" w:eastAsia="Times New Roman" w:hAnsi="inherit" w:cs="Arial"/>
          <w:color w:val="333333"/>
        </w:rPr>
      </w:pPr>
      <w:r w:rsidRPr="00D43A41">
        <w:rPr>
          <w:rFonts w:ascii="inherit" w:eastAsia="Times New Roman" w:hAnsi="inherit" w:cs="Arial"/>
          <w:i/>
          <w:iCs/>
          <w:color w:val="333333"/>
        </w:rPr>
        <w:t>  ( Part 4 enacted by Stats. 1992, Ch. 162, Sec. 10. )</w:t>
      </w:r>
    </w:p>
    <w:p w14:paraId="0453A4A4" w14:textId="4DD6EBD6" w:rsidR="00D43A41" w:rsidRPr="00D43A41" w:rsidRDefault="00D43A41" w:rsidP="00D43A41">
      <w:pPr>
        <w:shd w:val="clear" w:color="auto" w:fill="FFFFFF"/>
        <w:spacing w:after="0" w:line="240" w:lineRule="auto"/>
        <w:textAlignment w:val="baseline"/>
        <w:rPr>
          <w:rFonts w:ascii="inherit" w:eastAsia="Times New Roman" w:hAnsi="inherit" w:cs="Arial"/>
          <w:color w:val="333333"/>
        </w:rPr>
      </w:pPr>
      <w:r w:rsidRPr="00D43A41">
        <w:rPr>
          <w:rFonts w:ascii="Arial" w:eastAsia="Times New Roman" w:hAnsi="Arial" w:cs="Arial"/>
          <w:color w:val="333333"/>
        </w:rPr>
        <w:t>  </w:t>
      </w:r>
    </w:p>
    <w:p w14:paraId="17DFE88B" w14:textId="77777777" w:rsidR="00D43A41" w:rsidRPr="00D43A41" w:rsidRDefault="00D43A41" w:rsidP="00D43A41">
      <w:pPr>
        <w:shd w:val="clear" w:color="auto" w:fill="FFFFFF"/>
        <w:spacing w:after="0" w:line="240" w:lineRule="auto"/>
        <w:textAlignment w:val="baseline"/>
        <w:outlineLvl w:val="4"/>
        <w:rPr>
          <w:rFonts w:ascii="Arial" w:eastAsia="Times New Roman" w:hAnsi="Arial" w:cs="Arial"/>
          <w:b/>
          <w:bCs/>
          <w:color w:val="444444"/>
        </w:rPr>
      </w:pPr>
      <w:r w:rsidRPr="00D43A41">
        <w:rPr>
          <w:rFonts w:ascii="Arial" w:eastAsia="Times New Roman" w:hAnsi="Arial" w:cs="Arial"/>
          <w:b/>
          <w:bCs/>
          <w:color w:val="111111"/>
        </w:rPr>
        <w:t>CHAPTER 3. Consent by Minor [6920 - 6930]</w:t>
      </w:r>
    </w:p>
    <w:p w14:paraId="03E8E27C" w14:textId="77777777" w:rsidR="00D43A41" w:rsidRPr="00D43A41" w:rsidRDefault="00D43A41" w:rsidP="00D43A41">
      <w:pPr>
        <w:shd w:val="clear" w:color="auto" w:fill="FFFFFF"/>
        <w:spacing w:after="0" w:line="240" w:lineRule="auto"/>
        <w:textAlignment w:val="baseline"/>
        <w:rPr>
          <w:rFonts w:ascii="inherit" w:eastAsia="Times New Roman" w:hAnsi="inherit" w:cs="Arial"/>
          <w:color w:val="333333"/>
        </w:rPr>
      </w:pPr>
      <w:r w:rsidRPr="00D43A41">
        <w:rPr>
          <w:rFonts w:ascii="inherit" w:eastAsia="Times New Roman" w:hAnsi="inherit" w:cs="Arial"/>
          <w:i/>
          <w:iCs/>
          <w:color w:val="333333"/>
        </w:rPr>
        <w:t>  ( Chapter 3 enacted by Stats. 1992, Ch. 162, Sec. 10. )</w:t>
      </w:r>
    </w:p>
    <w:p w14:paraId="18455530" w14:textId="30333D60" w:rsidR="00D43A41" w:rsidRPr="00D43A41" w:rsidRDefault="00D43A41" w:rsidP="00D43A41">
      <w:pPr>
        <w:shd w:val="clear" w:color="auto" w:fill="FFFFFF"/>
        <w:spacing w:after="0" w:line="240" w:lineRule="auto"/>
        <w:textAlignment w:val="baseline"/>
        <w:rPr>
          <w:rFonts w:ascii="inherit" w:eastAsia="Times New Roman" w:hAnsi="inherit" w:cs="Arial"/>
          <w:color w:val="333333"/>
        </w:rPr>
      </w:pPr>
    </w:p>
    <w:p w14:paraId="36E1D75F" w14:textId="77777777" w:rsidR="00D43A41" w:rsidRPr="00D43A41" w:rsidRDefault="00D43A41" w:rsidP="00D43A41">
      <w:pPr>
        <w:shd w:val="clear" w:color="auto" w:fill="FFFFFF"/>
        <w:spacing w:after="0" w:line="240" w:lineRule="auto"/>
        <w:textAlignment w:val="baseline"/>
        <w:outlineLvl w:val="5"/>
        <w:rPr>
          <w:rFonts w:ascii="Arial" w:eastAsia="Times New Roman" w:hAnsi="Arial" w:cs="Arial"/>
          <w:b/>
          <w:bCs/>
          <w:color w:val="000000"/>
          <w:bdr w:val="none" w:sz="0" w:space="0" w:color="auto" w:frame="1"/>
        </w:rPr>
      </w:pPr>
      <w:r w:rsidRPr="00D43A41">
        <w:rPr>
          <w:rFonts w:ascii="Arial" w:eastAsia="Times New Roman" w:hAnsi="Arial" w:cs="Arial"/>
          <w:b/>
          <w:bCs/>
          <w:color w:val="111111"/>
          <w:bdr w:val="none" w:sz="0" w:space="0" w:color="auto" w:frame="1"/>
        </w:rPr>
        <w:t>6926.  </w:t>
      </w:r>
    </w:p>
    <w:p w14:paraId="1110358D" w14:textId="77777777" w:rsidR="00D43A41" w:rsidRPr="00D43A41" w:rsidRDefault="00D43A41" w:rsidP="00D43A41">
      <w:pPr>
        <w:shd w:val="clear" w:color="auto" w:fill="FFFFFF"/>
        <w:spacing w:after="120" w:line="240" w:lineRule="auto"/>
        <w:textAlignment w:val="baseline"/>
        <w:rPr>
          <w:rFonts w:ascii="Verdana" w:eastAsia="Times New Roman" w:hAnsi="Verdana" w:cs="Times New Roman"/>
          <w:color w:val="333333"/>
          <w:bdr w:val="none" w:sz="0" w:space="0" w:color="auto" w:frame="1"/>
        </w:rPr>
      </w:pPr>
      <w:r w:rsidRPr="00D43A41">
        <w:rPr>
          <w:rFonts w:ascii="Verdana" w:eastAsia="Times New Roman" w:hAnsi="Verdana" w:cs="Times New Roman"/>
          <w:color w:val="333333"/>
          <w:bdr w:val="none" w:sz="0" w:space="0" w:color="auto" w:frame="1"/>
        </w:rPr>
        <w:t>(a) A minor who is 12 years of age or older and who may have come into contact with an infectious, contagious, or communicable disease may consent to medical care related to the diagnosis or treatment of the disease, if the disease or condition is one that is required by law or regulation adopted pursuant to law to be reported to the local health officer, or is a related sexually transmitted disease, as may be determined by the State Public Health Officer.</w:t>
      </w:r>
    </w:p>
    <w:p w14:paraId="35E31420" w14:textId="77777777" w:rsidR="00D43A41" w:rsidRPr="00D43A41" w:rsidRDefault="00D43A41" w:rsidP="00D43A41">
      <w:pPr>
        <w:shd w:val="clear" w:color="auto" w:fill="FFFFFF"/>
        <w:spacing w:after="120" w:line="240" w:lineRule="auto"/>
        <w:textAlignment w:val="baseline"/>
        <w:rPr>
          <w:rFonts w:ascii="Verdana" w:eastAsia="Times New Roman" w:hAnsi="Verdana" w:cs="Times New Roman"/>
          <w:color w:val="333333"/>
          <w:bdr w:val="none" w:sz="0" w:space="0" w:color="auto" w:frame="1"/>
        </w:rPr>
      </w:pPr>
      <w:r w:rsidRPr="00D43A41">
        <w:rPr>
          <w:rFonts w:ascii="Verdana" w:eastAsia="Times New Roman" w:hAnsi="Verdana" w:cs="Times New Roman"/>
          <w:color w:val="333333"/>
          <w:bdr w:val="none" w:sz="0" w:space="0" w:color="auto" w:frame="1"/>
        </w:rPr>
        <w:t>(b) A minor who is 12 years of age or older may consent to medical care related to the prevention of a sexually transmitted disease.</w:t>
      </w:r>
    </w:p>
    <w:p w14:paraId="6387E86A" w14:textId="77777777" w:rsidR="00D43A41" w:rsidRPr="00D43A41" w:rsidRDefault="00D43A41" w:rsidP="00D43A41">
      <w:pPr>
        <w:shd w:val="clear" w:color="auto" w:fill="FFFFFF"/>
        <w:spacing w:after="120" w:line="240" w:lineRule="auto"/>
        <w:textAlignment w:val="baseline"/>
        <w:rPr>
          <w:rFonts w:ascii="Verdana" w:eastAsia="Times New Roman" w:hAnsi="Verdana" w:cs="Times New Roman"/>
          <w:color w:val="333333"/>
          <w:bdr w:val="none" w:sz="0" w:space="0" w:color="auto" w:frame="1"/>
        </w:rPr>
      </w:pPr>
      <w:r w:rsidRPr="00D43A41">
        <w:rPr>
          <w:rFonts w:ascii="Verdana" w:eastAsia="Times New Roman" w:hAnsi="Verdana" w:cs="Times New Roman"/>
          <w:color w:val="333333"/>
          <w:bdr w:val="none" w:sz="0" w:space="0" w:color="auto" w:frame="1"/>
        </w:rPr>
        <w:t>(c) The minor’s parents or guardian are not liable for payment for medical care provided pursuant to this section.</w:t>
      </w:r>
    </w:p>
    <w:p w14:paraId="6FEC0DB6" w14:textId="77777777" w:rsidR="00D43A41" w:rsidRPr="00D43A41" w:rsidRDefault="00D43A41" w:rsidP="00D43A41">
      <w:pPr>
        <w:shd w:val="clear" w:color="auto" w:fill="FFFFFF"/>
        <w:spacing w:after="0" w:line="240" w:lineRule="auto"/>
        <w:textAlignment w:val="baseline"/>
        <w:rPr>
          <w:rFonts w:ascii="inherit" w:eastAsia="Times New Roman" w:hAnsi="inherit" w:cs="Arial"/>
          <w:color w:val="333333"/>
        </w:rPr>
      </w:pPr>
      <w:r w:rsidRPr="00D43A41">
        <w:rPr>
          <w:rFonts w:ascii="inherit" w:eastAsia="Times New Roman" w:hAnsi="inherit" w:cs="Times New Roman"/>
          <w:i/>
          <w:iCs/>
          <w:color w:val="333333"/>
          <w:bdr w:val="none" w:sz="0" w:space="0" w:color="auto" w:frame="1"/>
        </w:rPr>
        <w:t>(Amended by Stats. 2011, Ch. 652, Sec. 1. (AB 499) Effective January 1, 2012.)</w:t>
      </w:r>
    </w:p>
    <w:p w14:paraId="4EEDA07E" w14:textId="77777777" w:rsidR="00D43A41" w:rsidRDefault="00D43A41" w:rsidP="00D43A41">
      <w:pPr>
        <w:shd w:val="clear" w:color="auto" w:fill="FFFFFF"/>
        <w:spacing w:after="0" w:line="240" w:lineRule="auto"/>
        <w:textAlignment w:val="baseline"/>
        <w:outlineLvl w:val="5"/>
      </w:pPr>
    </w:p>
    <w:sectPr w:rsidR="00D43A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3E66D" w14:textId="77777777" w:rsidR="009022C8" w:rsidRDefault="009022C8" w:rsidP="00D43A41">
      <w:pPr>
        <w:spacing w:after="0" w:line="240" w:lineRule="auto"/>
      </w:pPr>
      <w:r>
        <w:separator/>
      </w:r>
    </w:p>
  </w:endnote>
  <w:endnote w:type="continuationSeparator" w:id="0">
    <w:p w14:paraId="53723809" w14:textId="77777777" w:rsidR="009022C8" w:rsidRDefault="009022C8" w:rsidP="00D43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34310" w14:textId="77777777" w:rsidR="009022C8" w:rsidRDefault="009022C8" w:rsidP="00D43A41">
      <w:pPr>
        <w:spacing w:after="0" w:line="240" w:lineRule="auto"/>
      </w:pPr>
      <w:r>
        <w:separator/>
      </w:r>
    </w:p>
  </w:footnote>
  <w:footnote w:type="continuationSeparator" w:id="0">
    <w:p w14:paraId="26EE13F5" w14:textId="77777777" w:rsidR="009022C8" w:rsidRDefault="009022C8" w:rsidP="00D43A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A41"/>
    <w:rsid w:val="00381EE0"/>
    <w:rsid w:val="00500BE0"/>
    <w:rsid w:val="006D2E1F"/>
    <w:rsid w:val="009022C8"/>
    <w:rsid w:val="00A93961"/>
    <w:rsid w:val="00AB713B"/>
    <w:rsid w:val="00AE0BDD"/>
    <w:rsid w:val="00D43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A6741"/>
  <w15:chartTrackingRefBased/>
  <w15:docId w15:val="{D953C38D-3946-4ECE-B819-CA5B7380F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43A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43A4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D43A41"/>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D43A41"/>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43A4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43A4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D43A41"/>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D43A41"/>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D43A4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43A41"/>
    <w:rPr>
      <w:color w:val="0000FF"/>
      <w:u w:val="single"/>
    </w:rPr>
  </w:style>
  <w:style w:type="paragraph" w:styleId="Header">
    <w:name w:val="header"/>
    <w:basedOn w:val="Normal"/>
    <w:link w:val="HeaderChar"/>
    <w:uiPriority w:val="99"/>
    <w:unhideWhenUsed/>
    <w:rsid w:val="00D43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A41"/>
  </w:style>
  <w:style w:type="paragraph" w:styleId="Footer">
    <w:name w:val="footer"/>
    <w:basedOn w:val="Normal"/>
    <w:link w:val="FooterChar"/>
    <w:uiPriority w:val="99"/>
    <w:unhideWhenUsed/>
    <w:rsid w:val="00D43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A41"/>
  </w:style>
  <w:style w:type="character" w:styleId="UnresolvedMention">
    <w:name w:val="Unresolved Mention"/>
    <w:basedOn w:val="DefaultParagraphFont"/>
    <w:uiPriority w:val="99"/>
    <w:semiHidden/>
    <w:unhideWhenUsed/>
    <w:rsid w:val="00D43A41"/>
    <w:rPr>
      <w:color w:val="605E5C"/>
      <w:shd w:val="clear" w:color="auto" w:fill="E1DFDD"/>
    </w:rPr>
  </w:style>
  <w:style w:type="character" w:styleId="CommentReference">
    <w:name w:val="annotation reference"/>
    <w:basedOn w:val="DefaultParagraphFont"/>
    <w:uiPriority w:val="99"/>
    <w:semiHidden/>
    <w:unhideWhenUsed/>
    <w:rsid w:val="006D2E1F"/>
    <w:rPr>
      <w:sz w:val="16"/>
      <w:szCs w:val="16"/>
    </w:rPr>
  </w:style>
  <w:style w:type="paragraph" w:styleId="CommentText">
    <w:name w:val="annotation text"/>
    <w:basedOn w:val="Normal"/>
    <w:link w:val="CommentTextChar"/>
    <w:uiPriority w:val="99"/>
    <w:semiHidden/>
    <w:unhideWhenUsed/>
    <w:rsid w:val="006D2E1F"/>
    <w:pPr>
      <w:spacing w:line="240" w:lineRule="auto"/>
    </w:pPr>
    <w:rPr>
      <w:sz w:val="20"/>
      <w:szCs w:val="20"/>
    </w:rPr>
  </w:style>
  <w:style w:type="character" w:customStyle="1" w:styleId="CommentTextChar">
    <w:name w:val="Comment Text Char"/>
    <w:basedOn w:val="DefaultParagraphFont"/>
    <w:link w:val="CommentText"/>
    <w:uiPriority w:val="99"/>
    <w:semiHidden/>
    <w:rsid w:val="006D2E1F"/>
    <w:rPr>
      <w:sz w:val="20"/>
      <w:szCs w:val="20"/>
    </w:rPr>
  </w:style>
  <w:style w:type="paragraph" w:styleId="CommentSubject">
    <w:name w:val="annotation subject"/>
    <w:basedOn w:val="CommentText"/>
    <w:next w:val="CommentText"/>
    <w:link w:val="CommentSubjectChar"/>
    <w:uiPriority w:val="99"/>
    <w:semiHidden/>
    <w:unhideWhenUsed/>
    <w:rsid w:val="006D2E1F"/>
    <w:rPr>
      <w:b/>
      <w:bCs/>
    </w:rPr>
  </w:style>
  <w:style w:type="character" w:customStyle="1" w:styleId="CommentSubjectChar">
    <w:name w:val="Comment Subject Char"/>
    <w:basedOn w:val="CommentTextChar"/>
    <w:link w:val="CommentSubject"/>
    <w:uiPriority w:val="99"/>
    <w:semiHidden/>
    <w:rsid w:val="006D2E1F"/>
    <w:rPr>
      <w:b/>
      <w:bCs/>
      <w:sz w:val="20"/>
      <w:szCs w:val="20"/>
    </w:rPr>
  </w:style>
  <w:style w:type="paragraph" w:styleId="BalloonText">
    <w:name w:val="Balloon Text"/>
    <w:basedOn w:val="Normal"/>
    <w:link w:val="BalloonTextChar"/>
    <w:uiPriority w:val="99"/>
    <w:semiHidden/>
    <w:unhideWhenUsed/>
    <w:rsid w:val="006D2E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E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25972">
      <w:bodyDiv w:val="1"/>
      <w:marLeft w:val="0"/>
      <w:marRight w:val="0"/>
      <w:marTop w:val="0"/>
      <w:marBottom w:val="0"/>
      <w:divBdr>
        <w:top w:val="none" w:sz="0" w:space="0" w:color="auto"/>
        <w:left w:val="none" w:sz="0" w:space="0" w:color="auto"/>
        <w:bottom w:val="none" w:sz="0" w:space="0" w:color="auto"/>
        <w:right w:val="none" w:sz="0" w:space="0" w:color="auto"/>
      </w:divBdr>
      <w:divsChild>
        <w:div w:id="584262471">
          <w:marLeft w:val="0"/>
          <w:marRight w:val="0"/>
          <w:marTop w:val="0"/>
          <w:marBottom w:val="0"/>
          <w:divBdr>
            <w:top w:val="none" w:sz="0" w:space="0" w:color="auto"/>
            <w:left w:val="none" w:sz="0" w:space="0" w:color="auto"/>
            <w:bottom w:val="none" w:sz="0" w:space="0" w:color="auto"/>
            <w:right w:val="none" w:sz="0" w:space="0" w:color="auto"/>
          </w:divBdr>
        </w:div>
        <w:div w:id="765422556">
          <w:marLeft w:val="0"/>
          <w:marRight w:val="0"/>
          <w:marTop w:val="0"/>
          <w:marBottom w:val="0"/>
          <w:divBdr>
            <w:top w:val="none" w:sz="0" w:space="0" w:color="auto"/>
            <w:left w:val="none" w:sz="0" w:space="0" w:color="auto"/>
            <w:bottom w:val="none" w:sz="0" w:space="0" w:color="auto"/>
            <w:right w:val="none" w:sz="0" w:space="0" w:color="auto"/>
          </w:divBdr>
          <w:divsChild>
            <w:div w:id="1906791779">
              <w:marLeft w:val="0"/>
              <w:marRight w:val="0"/>
              <w:marTop w:val="0"/>
              <w:marBottom w:val="0"/>
              <w:divBdr>
                <w:top w:val="none" w:sz="0" w:space="0" w:color="auto"/>
                <w:left w:val="none" w:sz="0" w:space="0" w:color="auto"/>
                <w:bottom w:val="none" w:sz="0" w:space="0" w:color="auto"/>
                <w:right w:val="none" w:sz="0" w:space="0" w:color="auto"/>
              </w:divBdr>
            </w:div>
            <w:div w:id="1697652115">
              <w:marLeft w:val="0"/>
              <w:marRight w:val="0"/>
              <w:marTop w:val="0"/>
              <w:marBottom w:val="0"/>
              <w:divBdr>
                <w:top w:val="none" w:sz="0" w:space="0" w:color="auto"/>
                <w:left w:val="none" w:sz="0" w:space="0" w:color="auto"/>
                <w:bottom w:val="none" w:sz="0" w:space="0" w:color="auto"/>
                <w:right w:val="none" w:sz="0" w:space="0" w:color="auto"/>
              </w:divBdr>
              <w:divsChild>
                <w:div w:id="1531141482">
                  <w:marLeft w:val="0"/>
                  <w:marRight w:val="0"/>
                  <w:marTop w:val="0"/>
                  <w:marBottom w:val="0"/>
                  <w:divBdr>
                    <w:top w:val="none" w:sz="0" w:space="0" w:color="auto"/>
                    <w:left w:val="none" w:sz="0" w:space="0" w:color="auto"/>
                    <w:bottom w:val="none" w:sz="0" w:space="0" w:color="auto"/>
                    <w:right w:val="none" w:sz="0" w:space="0" w:color="auto"/>
                  </w:divBdr>
                </w:div>
                <w:div w:id="697007692">
                  <w:marLeft w:val="0"/>
                  <w:marRight w:val="0"/>
                  <w:marTop w:val="0"/>
                  <w:marBottom w:val="0"/>
                  <w:divBdr>
                    <w:top w:val="none" w:sz="0" w:space="0" w:color="auto"/>
                    <w:left w:val="none" w:sz="0" w:space="0" w:color="auto"/>
                    <w:bottom w:val="none" w:sz="0" w:space="0" w:color="auto"/>
                    <w:right w:val="none" w:sz="0" w:space="0" w:color="auto"/>
                  </w:divBdr>
                  <w:divsChild>
                    <w:div w:id="140013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127174">
      <w:bodyDiv w:val="1"/>
      <w:marLeft w:val="0"/>
      <w:marRight w:val="0"/>
      <w:marTop w:val="0"/>
      <w:marBottom w:val="0"/>
      <w:divBdr>
        <w:top w:val="none" w:sz="0" w:space="0" w:color="auto"/>
        <w:left w:val="none" w:sz="0" w:space="0" w:color="auto"/>
        <w:bottom w:val="none" w:sz="0" w:space="0" w:color="auto"/>
        <w:right w:val="none" w:sz="0" w:space="0" w:color="auto"/>
      </w:divBdr>
      <w:divsChild>
        <w:div w:id="441800140">
          <w:marLeft w:val="0"/>
          <w:marRight w:val="0"/>
          <w:marTop w:val="0"/>
          <w:marBottom w:val="0"/>
          <w:divBdr>
            <w:top w:val="none" w:sz="0" w:space="0" w:color="auto"/>
            <w:left w:val="none" w:sz="0" w:space="0" w:color="auto"/>
            <w:bottom w:val="none" w:sz="0" w:space="0" w:color="auto"/>
            <w:right w:val="none" w:sz="0" w:space="0" w:color="auto"/>
          </w:divBdr>
        </w:div>
      </w:divsChild>
    </w:div>
    <w:div w:id="57759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Stephanie@CDPH</dc:creator>
  <cp:keywords/>
  <dc:description/>
  <cp:lastModifiedBy>Calderon, Jessica</cp:lastModifiedBy>
  <cp:revision>4</cp:revision>
  <dcterms:created xsi:type="dcterms:W3CDTF">2021-12-15T21:37:00Z</dcterms:created>
  <dcterms:modified xsi:type="dcterms:W3CDTF">2022-01-08T17:13:00Z</dcterms:modified>
</cp:coreProperties>
</file>